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2026-09-30 och omfattar 280,8 ha.</w:t>
      </w:r>
    </w:p>
    <w:p>
      <w:pPr>
        <w:pStyle w:val="Caption"/>
      </w:pPr>
      <w:r>
        <w:drawing>
          <wp:inline xmlns:a="http://schemas.openxmlformats.org/drawingml/2006/main" xmlns:pic="http://schemas.openxmlformats.org/drawingml/2006/picture">
            <wp:extent cx="5486400" cy="5190779"/>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907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