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Bockbergets naturreservat i Haninge kommun</w:t>
      </w:r>
    </w:p>
    <w:p>
      <w:r>
        <w:t>Detta klagomål behandlar höga naturvärden i avverkningsanmälan Bockbergets naturreservat i Haninge kommun som inkom 2026-08-24 och omfattar 329,7 ha.</w:t>
      </w:r>
    </w:p>
    <w:p>
      <w:pPr>
        <w:pStyle w:val="Caption"/>
      </w:pPr>
      <w:r>
        <w:drawing>
          <wp:inline xmlns:a="http://schemas.openxmlformats.org/drawingml/2006/main" xmlns:pic="http://schemas.openxmlformats.org/drawingml/2006/picture">
            <wp:extent cx="5486400" cy="5463869"/>
            <wp:docPr id="1" name="Picture 1"/>
            <wp:cNvGraphicFramePr>
              <a:graphicFrameLocks noChangeAspect="1"/>
            </wp:cNvGraphicFramePr>
            <a:graphic>
              <a:graphicData uri="http://schemas.openxmlformats.org/drawingml/2006/picture">
                <pic:pic>
                  <pic:nvPicPr>
                    <pic:cNvPr id="0" name="Bockbergets naturreservat karta.png"/>
                    <pic:cNvPicPr/>
                  </pic:nvPicPr>
                  <pic:blipFill>
                    <a:blip r:embed="rId16"/>
                    <a:stretch>
                      <a:fillRect/>
                    </a:stretch>
                  </pic:blipFill>
                  <pic:spPr>
                    <a:xfrm>
                      <a:off x="0" y="0"/>
                      <a:ext cx="5486400" cy="5463869"/>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6544792, E 683502 i SWEREF 99 TM.</w:t>
      </w:r>
    </w:p>
    <w:p>
      <w:r>
        <w:t>I avverkningsanmälan finns fynd av 12 naturvårdsarter, varav 7 är rödlistade, 4 är fridlysta, 9 är typiska (T) och 3 är signalarter (S): gränsticka (VU, T), knärot (VU, T, §8), dvärgbägarlav (NT, T), fjällig taggsvamp s.str. (NT), kungsfiskare (NT, §4), motaggsvamp (NT, T), tallticka (NT, T), blåmossa (S, T), stor aspticka (S, T), vedticka (S, T), spillkråka (T, §4) och salskrake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Gränsticka (VU)</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Den totala populationen bedöms ha minskat och fortsätter att minska i takt med att grankontinuitetsskogar (äldre tidigare icke kalavverkade skogar) minskar i areal. Minskningstakten överstiger gränsvärdet för sårbar (VU). Lokaler som hyser arten bör undantas från skogsbruk, speciellt i mellersta och södra Sverige. Gränsticka är typisk art för </w:t>
      </w:r>
      <w:r>
        <w:rPr>
          <w:i/>
        </w:rPr>
        <w:t>9010 Taiga</w:t>
      </w:r>
      <w:r>
        <w:t xml:space="preserve"> (SLU Artdatabanken, 2026; Nitare &amp; Skogsstyrelsen, 2019).</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3 fyndplatser för knärot registrerade på Artportalen. Figur 2 visar gränserna för buffertzoner på 50 m, som behöver lämnas kring fyndplatserna för att knärotslokalerna inte ska försvinna vid en avverkning. Av det avverkningsanmälda området överlappar 2.36 ha med buffertzonerna och får av detta skäl inte avverkas.</w:t>
      </w:r>
    </w:p>
    <w:p>
      <w:pPr>
        <w:pStyle w:val="Caption"/>
      </w:pPr>
      <w:r>
        <w:drawing>
          <wp:inline xmlns:a="http://schemas.openxmlformats.org/drawingml/2006/main" xmlns:pic="http://schemas.openxmlformats.org/drawingml/2006/picture">
            <wp:extent cx="5486400" cy="7367524"/>
            <wp:docPr id="2" name="Picture 2"/>
            <wp:cNvGraphicFramePr>
              <a:graphicFrameLocks noChangeAspect="1"/>
            </wp:cNvGraphicFramePr>
            <a:graphic>
              <a:graphicData uri="http://schemas.openxmlformats.org/drawingml/2006/picture">
                <pic:pic>
                  <pic:nvPicPr>
                    <pic:cNvPr id="0" name="Bockbergets naturreservat karta knärot.png"/>
                    <pic:cNvPicPr/>
                  </pic:nvPicPr>
                  <pic:blipFill>
                    <a:blip r:embed="rId17"/>
                    <a:stretch>
                      <a:fillRect/>
                    </a:stretch>
                  </pic:blipFill>
                  <pic:spPr>
                    <a:xfrm>
                      <a:off x="0" y="0"/>
                      <a:ext cx="5486400" cy="7367524"/>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6544792, E 683502 i SWEREF 99 TM.</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Dvärgbägarlav är typisk art för </w:t>
      </w:r>
      <w:r>
        <w:rPr>
          <w:i/>
        </w:rPr>
        <w:t>9010 Taiga</w:t>
      </w:r>
      <w:r>
        <w:t xml:space="preserve"> (SLU Artdatabanken, 2024; Nitare &amp; Skogsstyrelsen, 2019).</w:t>
      </w:r>
    </w:p>
    <w:p>
      <w:r>
        <w:rPr>
          <w:b/>
        </w:rPr>
        <w:t>Fjällig taggsvamp s.str. (NT)</w:t>
      </w:r>
      <w:r>
        <w:t xml:space="preserve"> bildar mykorrhiza med gran i granskog och barrblandskog, främst på frisk näringsrik mark i äldre skog med lång trädkontinuitet. Den totala populationen i landet har minskat och bedöms fortsätta minska till följd av avverkning av äldre barrskogar. Minskningstakten för den svenska populationen bedöms vara nära gränsvärdet för sårbar (VU) (SLU Artdatabanken, 2026).</w:t>
      </w:r>
    </w:p>
    <w:p>
      <w:r>
        <w:rPr>
          <w:b/>
        </w:rPr>
        <w:t xml:space="preserve">Motaggsvamp (NT) </w:t>
      </w:r>
      <w:r>
        <w:t xml:space="preserve">bildar mykorrhiza med tall i tallskog och hittas huvudsakligen i äldre, glesare skogsbestånd och hällmarksimpediment. Arten hotas främst av skogsavverkning och tycks försvinna efter slutavverkning, markberedning och plantering. Motaggsvamp är typisk art för </w:t>
      </w:r>
      <w:r>
        <w:rPr>
          <w:i/>
        </w:rPr>
        <w:t>9010 Taiga</w:t>
      </w:r>
      <w:r>
        <w:t xml:space="preserve"> (SLU Artdatabanken, 2024).</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r>
        <w:rPr>
          <w:b/>
        </w:rPr>
        <w:t xml:space="preserve">Blåmossa </w:t>
      </w:r>
      <w:r>
        <w:t xml:space="preserve">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Blåmossa är typisk art för </w:t>
      </w:r>
      <w:r>
        <w:rPr>
          <w:i/>
        </w:rPr>
        <w:t>9010 Taiga, 9080 Lövsumpskog</w:t>
      </w:r>
      <w:r>
        <w:t xml:space="preserve"> och </w:t>
      </w:r>
      <w:r>
        <w:rPr>
          <w:i/>
        </w:rPr>
        <w:t>9750 Svämlövskog</w:t>
      </w:r>
      <w:r>
        <w:t xml:space="preserve"> (SLU Artdatabanken, 2025; Nitare &amp; Skogsstyrelsen, 2019).</w:t>
      </w:r>
    </w:p>
    <w:p>
      <w:r>
        <w:rPr>
          <w:b/>
        </w:rPr>
        <w:t>Stor aspticka</w:t>
      </w:r>
      <w:r>
        <w:t xml:space="preserve"> är knuten till gamla levande aspar och orsakar karaktäristiska inbuktningar i stammen (så kallad nekroser). Slutavverknings- och gallringsåtgärder i löv- och blandskogsbestånd som innebär att tillgången på grov asp minskar är ett hot mot arten. Det är viktigt att äldre aspar och aspbestånd sparas och för att gynna arten på sikt bör aspinslagen i t.ex. bergbranter, raviner, skogsbryn och kring äldre odlingsmarker generellt sparas i större utsträckning än vad som görs idag. Stor aspticka är typisk art för </w:t>
      </w:r>
      <w:r>
        <w:rPr>
          <w:i/>
        </w:rPr>
        <w:t xml:space="preserve">9010 Taiga </w:t>
      </w:r>
      <w:r>
        <w:t xml:space="preserve">och </w:t>
      </w:r>
      <w:r>
        <w:rPr>
          <w:i/>
        </w:rPr>
        <w:t>9030 Landhöjningsskog</w:t>
      </w:r>
      <w:r>
        <w:t xml:space="preserve"> (SLU Artdatabanken, 2024; Nitare &amp; Skogsstyrelsen, 2019).</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12 naturvårdsarter varav 7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2026-08-24</w:t>
      <w:br/>
      <w:br/>
    </w:r>
    <w:r>
      <w:t>Till: Övriga statliga verk och myndigheter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