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2026-08-24 och omfattar 128,0 ha.</w:t>
      </w:r>
    </w:p>
    <w:p>
      <w:pPr>
        <w:pStyle w:val="Caption"/>
      </w:pPr>
      <w:r>
        <w:drawing>
          <wp:inline xmlns:a="http://schemas.openxmlformats.org/drawingml/2006/main" xmlns:pic="http://schemas.openxmlformats.org/drawingml/2006/picture">
            <wp:extent cx="4787008"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7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