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2026-10-20 och omfattar 415,0 ha.</w:t>
      </w:r>
    </w:p>
    <w:p>
      <w:pPr>
        <w:pStyle w:val="Caption"/>
      </w:pPr>
      <w:r>
        <w:drawing>
          <wp:inline xmlns:a="http://schemas.openxmlformats.org/drawingml/2006/main" xmlns:pic="http://schemas.openxmlformats.org/drawingml/2006/picture">
            <wp:extent cx="499615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9615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