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Norrbyskogens naturreservat i Haninge kommun</w:t>
      </w:r>
    </w:p>
    <w:p>
      <w:r>
        <w:t>Denna tillsynsbegäran behandlar höga naturvärden i avverkningsanmälan Norrbyskogens naturreservat i Haninge kommun som inkom 2026-10-20 och omfattar 85,6 ha.</w:t>
      </w:r>
    </w:p>
    <w:p>
      <w:pPr>
        <w:pStyle w:val="Caption"/>
      </w:pPr>
      <w:r>
        <w:drawing>
          <wp:inline xmlns:a="http://schemas.openxmlformats.org/drawingml/2006/main" xmlns:pic="http://schemas.openxmlformats.org/drawingml/2006/picture">
            <wp:extent cx="5012591" cy="5724000"/>
            <wp:docPr id="1" name="Picture 1"/>
            <wp:cNvGraphicFramePr>
              <a:graphicFrameLocks noChangeAspect="1"/>
            </wp:cNvGraphicFramePr>
            <a:graphic>
              <a:graphicData uri="http://schemas.openxmlformats.org/drawingml/2006/picture">
                <pic:pic>
                  <pic:nvPicPr>
                    <pic:cNvPr id="0" name="Norrbyskogens naturreservat karta.png"/>
                    <pic:cNvPicPr/>
                  </pic:nvPicPr>
                  <pic:blipFill>
                    <a:blip r:embed="rId16"/>
                    <a:stretch>
                      <a:fillRect/>
                    </a:stretch>
                  </pic:blipFill>
                  <pic:spPr>
                    <a:xfrm>
                      <a:off x="0" y="0"/>
                      <a:ext cx="501259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6566027, E 681114 i SWEREF 99 TM.</w:t>
      </w:r>
    </w:p>
    <w:p>
      <w:r>
        <w:t>I och inom 6 meter från avverkningsanmälan finns fynd av 57 naturvårdsarter, varav 20 är rödlistade, 19 är fridlysta, 22 är typiska (T) och 25 är signalarter (S): fläckfingersvamp (VU), gränsticka (VU, T), grönfink (VU, §4), solfingersvamp (VU), brunlångöra (NT, §4a), duvhök (NT, §4), fjällig taggsvamp s.str. (NT), gullmurkling (NT), gullpudra (NT, T), järnsparv (NT, §4), kandelabersvamp (NT, T), loppstarr (NT), mindre träfjäril (NT), motaggsvamp (NT, T), nordfladdermus (NT, §4a), tallticka (NT, T), talltita (NT, §4), ullticka (NT, T), vågticka (NT), älg (NT), aspvedgnagare (S), björksplintborre (S), blomkålssvamp (S), brandticka (S), granbarkgnagare (S, T), grön sköldmossa (S, T, §8), jättesvampmal (S), mindre märgborre (S, T), mörk husmossa (S, T), noshornsoxe (S), praktscharlakansskål (S), rävticka (S, T), rödgul trumpetsvamp (S), skogsbräsma (S), skogshakmossa (S, T), stekelbock (S, T), stubbspretmossa (S, T), större träfjäril (S), trubbfjädermossa (S, T), trådticka (S, T), vedticka (S, T), västlig hakmossa (S), vätteros (S, T), vågbandad barkbock (S), zontaggsvamp (S), blåsippa (T, §9), mattlummer (T, §9), spillkråka (T, §4), tallbit (T, §4), dvärgpipistrell (§4a), gröngöling (§4), grönsiska (§4), kungsfågel (§4), vattenfladdermus (§4a), åkergroda (§4a),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Solfingersvamp (VU) </w:t>
      </w:r>
      <w:r>
        <w:t>bildar mykorrhiza med ek, lind och bok, kanske även hassel i luckiga, äldre ädellövskogar på kalkrik eller grönstenspåverkad mark. Arten hotas främst av skogsavverkning. Områdesskydd är en viktig åtgärd för att bevara artens förekomster (SLU Artdatabanken, 2026).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Gullmurkling (NT)</w:t>
      </w:r>
      <w:r>
        <w:t xml:space="preserve"> är placerad högst upp i Skogsstyrelsens värdepyramid för bedömning av skog med höga naturvärden och är överallt en mycket bra signalart som visar på skyddsvärda granskogar och skogsbäckar. Kända växtplatser bör inte kalavverkas eller markberedas och tunga, terränggående maskiner bör inte användas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gullpudra (NT, T), kandelabersvamp (NT, T), motaggsvamp (NT, T), tallticka (NT, T), ullticka (NT, T), granbarkgnagare (S, T), grön sköldmossa (S, T, §8), mindre märgborre (S, T), mörk husmossa (S, T), rävticka (S, T), skogshakmossa (S, T), stekelbock (S, T), stubbspretmossa (S, T), trubbfjädermossa (S, T), trådticka (S, T), vedticka (S, T), vätteros (S, T), blåsippa (T, §9), mattlummer (T, §9), spillkråka (T, §4)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