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2026-07-23 och omfattar 128,0 ha.</w:t>
      </w:r>
    </w:p>
    <w:p>
      <w:pPr>
        <w:pStyle w:val="Caption"/>
      </w:pPr>
      <w:r>
        <w:drawing>
          <wp:inline xmlns:a="http://schemas.openxmlformats.org/drawingml/2006/main" xmlns:pic="http://schemas.openxmlformats.org/drawingml/2006/picture">
            <wp:extent cx="4714962"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496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