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2026-07-23 och omfattar 159,7 ha.</w:t>
      </w:r>
    </w:p>
    <w:p>
      <w:pPr>
        <w:pStyle w:val="Caption"/>
      </w:pPr>
      <w:r>
        <w:drawing>
          <wp:inline xmlns:a="http://schemas.openxmlformats.org/drawingml/2006/main" xmlns:pic="http://schemas.openxmlformats.org/drawingml/2006/picture">
            <wp:extent cx="5486400" cy="4656534"/>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65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98 naturvårdsarter, varav 56 är rödlistade, 31 är fridlysta, 42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