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2026-09-28 och omfattar 194,4 ha.</w:t>
      </w:r>
    </w:p>
    <w:p>
      <w:pPr>
        <w:pStyle w:val="Caption"/>
      </w:pPr>
      <w:r>
        <w:drawing>
          <wp:inline xmlns:a="http://schemas.openxmlformats.org/drawingml/2006/main" xmlns:pic="http://schemas.openxmlformats.org/drawingml/2006/picture">
            <wp:extent cx="5486400" cy="4510746"/>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5107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128 naturvårdsarter, varav 67 är rödlistade, 41 är fridlysta, 55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128 naturvårdsarter varav 67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