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2026-10-30 och omfattar 194,4 ha.</w:t>
      </w:r>
    </w:p>
    <w:p>
      <w:pPr>
        <w:pStyle w:val="Caption"/>
      </w:pPr>
      <w:r>
        <w:drawing>
          <wp:inline xmlns:a="http://schemas.openxmlformats.org/drawingml/2006/main" xmlns:pic="http://schemas.openxmlformats.org/drawingml/2006/picture">
            <wp:extent cx="5486400" cy="4342987"/>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42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133 naturvårdsarter, varav 69 är rödlistade, 42 är fridlysta, 58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Phellodon aquiloniniger (NT),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hultbräken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133 naturvårdsarter varav 69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