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2026-10-30 och omfattar 415,0 ha.</w:t>
      </w:r>
    </w:p>
    <w:p>
      <w:pPr>
        <w:pStyle w:val="Caption"/>
      </w:pPr>
      <w:r>
        <w:drawing>
          <wp:inline xmlns:a="http://schemas.openxmlformats.org/drawingml/2006/main" xmlns:pic="http://schemas.openxmlformats.org/drawingml/2006/picture">
            <wp:extent cx="4967102"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671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161 naturvårdsarter, varav 85 är rödlistade, 42 är fridlysta, 70 är typiska (T) och 46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Phellodon aquiloniniger (NT),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zontaggsvamp (S),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svartöra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