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2026-09-11 och omfattar 185,8 ha.</w:t>
      </w:r>
    </w:p>
    <w:p>
      <w:pPr>
        <w:pStyle w:val="Caption"/>
      </w:pPr>
      <w:r>
        <w:drawing>
          <wp:inline xmlns:a="http://schemas.openxmlformats.org/drawingml/2006/main" xmlns:pic="http://schemas.openxmlformats.org/drawingml/2006/picture">
            <wp:extent cx="4000288"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028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108 naturvårdsarter, varav 53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108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