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2026-09-11 och omfattar 237,7 ha.</w:t>
      </w:r>
    </w:p>
    <w:p>
      <w:pPr>
        <w:pStyle w:val="Caption"/>
      </w:pPr>
      <w:r>
        <w:drawing>
          <wp:inline xmlns:a="http://schemas.openxmlformats.org/drawingml/2006/main" xmlns:pic="http://schemas.openxmlformats.org/drawingml/2006/picture">
            <wp:extent cx="5486400" cy="4561272"/>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12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