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2026-09-11 och omfattar 415,0 ha.</w:t>
      </w:r>
    </w:p>
    <w:p>
      <w:pPr>
        <w:pStyle w:val="Caption"/>
      </w:pPr>
      <w:r>
        <w:drawing>
          <wp:inline xmlns:a="http://schemas.openxmlformats.org/drawingml/2006/main" xmlns:pic="http://schemas.openxmlformats.org/drawingml/2006/picture">
            <wp:extent cx="496153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15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154 naturvårdsarter, varav 81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