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2026-10-13 och omfattar 280,8 ha.</w:t>
      </w:r>
    </w:p>
    <w:p>
      <w:pPr>
        <w:pStyle w:val="Caption"/>
      </w:pPr>
      <w:r>
        <w:drawing>
          <wp:inline xmlns:a="http://schemas.openxmlformats.org/drawingml/2006/main" xmlns:pic="http://schemas.openxmlformats.org/drawingml/2006/picture">
            <wp:extent cx="5486400" cy="5210845"/>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8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