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Tutvikskogens naturreservat i Haninge kommun</w:t>
      </w:r>
    </w:p>
    <w:p>
      <w:r>
        <w:t>Detta klagomål behandlar höga naturvärden i avverkningsanmälan Tutvikskogens naturreservat i Haninge kommun som inkom 2026-10-13 och omfattar 194,2 ha.</w:t>
      </w:r>
    </w:p>
    <w:p>
      <w:pPr>
        <w:pStyle w:val="Caption"/>
      </w:pPr>
      <w:r>
        <w:drawing>
          <wp:inline xmlns:a="http://schemas.openxmlformats.org/drawingml/2006/main" xmlns:pic="http://schemas.openxmlformats.org/drawingml/2006/picture">
            <wp:extent cx="5337784" cy="5724000"/>
            <wp:docPr id="1" name="Picture 1"/>
            <wp:cNvGraphicFramePr>
              <a:graphicFrameLocks noChangeAspect="1"/>
            </wp:cNvGraphicFramePr>
            <a:graphic>
              <a:graphicData uri="http://schemas.openxmlformats.org/drawingml/2006/picture">
                <pic:pic>
                  <pic:nvPicPr>
                    <pic:cNvPr id="0" name="Tutvikskogens naturreservat karta.png"/>
                    <pic:cNvPicPr/>
                  </pic:nvPicPr>
                  <pic:blipFill>
                    <a:blip r:embed="rId16"/>
                    <a:stretch>
                      <a:fillRect/>
                    </a:stretch>
                  </pic:blipFill>
                  <pic:spPr>
                    <a:xfrm>
                      <a:off x="0" y="0"/>
                      <a:ext cx="5337784"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6567361, E 685071 i SWEREF 99 TM.</w:t>
      </w:r>
    </w:p>
    <w:p>
      <w:r>
        <w:t>I och inom 15 meter från avverkningsanmälan finns fynd av 49 naturvårdsarter, varav 25 är rödlistade, 14 är fridlysta, 27 är typiska (T) och 14 är signalarter (S): garnlav (VU, T), goliatmusseron (VU, T), gul taggsvamp (VU, T), jättemusseron (VU), knärot (VU, T, §8), lakritsmusseron (VU, T), Ramaria neoformosa (VU), ryl (VU, T), skrovlig taggsvamp (VU), blå taggsvamp (NT, T), dropptaggsvamp (NT, T), dvärgbägarlav (NT, T), jungfrulin (NT), kötticka (NT), motaggsvamp (NT, T), orange taggsvamp (NT, T), svartvit taggsvamp (NT), tallkötticka (NT), tallticka (NT, T), talltita (NT, §4), tjockfotad fingersvamp (NT), ullticka (NT, T), vedskivlav (NT, T), vintertagging (NT), älg (NT), björksplintborre (S), blodticka (S, T), blomkålssvamp (S), blåmossa (S, T), flagellkvastmossa (S, T), granbarkgnagare (S, T), grovticka (S, T), grön sköldmossa (S, T, §8), grönpyrola (S, T), mindre märgborre (S, T), plattlummer (S, T, §9), vedticka (S, T), västlig hakmossa (S), vågbandad barkbock (S), mattlummer (T, §9), spillkråka (T, §4), tjäder (T, §4), kungsfågel (§4), huggorm (§6), kopparödla (§6), vanlig padda (§6), vanlig snok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945301"/>
            <wp:docPr id="2" name="Picture 2"/>
            <wp:cNvGraphicFramePr>
              <a:graphicFrameLocks noChangeAspect="1"/>
            </wp:cNvGraphicFramePr>
            <a:graphic>
              <a:graphicData uri="http://schemas.openxmlformats.org/drawingml/2006/picture">
                <pic:pic>
                  <pic:nvPicPr>
                    <pic:cNvPr id="0" name="Tutvikskogens naturreservat karta knärot.png"/>
                    <pic:cNvPicPr/>
                  </pic:nvPicPr>
                  <pic:blipFill>
                    <a:blip r:embed="rId17"/>
                    <a:stretch>
                      <a:fillRect/>
                    </a:stretch>
                  </pic:blipFill>
                  <pic:spPr>
                    <a:xfrm>
                      <a:off x="0" y="0"/>
                      <a:ext cx="5486400" cy="49453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6567361, E 685071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i/>
        </w:rPr>
        <w:t xml:space="preserve">Ramaria neoformosa </w:t>
      </w:r>
      <w:r>
        <w:rPr>
          <w:b/>
        </w:rPr>
        <w:t>(VU)</w:t>
      </w:r>
      <w:r>
        <w:t xml:space="preserve"> är en korallfingersvamp som bildar mykorrhiza med gran och tall, främst i näringsfattig och torr sandtallskog, men även i gran- och barrblandskog på mer näringsrik eller kalkhaltig mark. Arten har sin huvudsakliga utbredning i boreala sandtallskogar och är i Sverige känd från Dalarna och norrut till Lule lappmark. Den totala populationen i landet har minskat och bedöms fortsätta minska till följd av avverkning av äldre barrskog. Arten har begränsad förmåga att återetablera sig efter slutavverkning eller andra storskaliga skogsbruksåtgärder, och det finns inga indikationer på att arten långsiktigt kan etablera eller reproducera sig i skogsbestånd som brukas med trakthyggesmetoder, markberedning, gödsling eller föryngring med förädlat plantmaterial (SLU Artdatabanken, 2026).</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49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