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2026-10-13 och omfattar 237,7 ha.</w:t>
      </w:r>
    </w:p>
    <w:p>
      <w:pPr>
        <w:pStyle w:val="Caption"/>
      </w:pPr>
      <w:r>
        <w:drawing>
          <wp:inline xmlns:a="http://schemas.openxmlformats.org/drawingml/2006/main" xmlns:pic="http://schemas.openxmlformats.org/drawingml/2006/picture">
            <wp:extent cx="5486400" cy="4276476"/>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764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