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2026-09-24 och omfattar 194,4 ha.</w:t>
      </w:r>
    </w:p>
    <w:p>
      <w:pPr>
        <w:pStyle w:val="Caption"/>
      </w:pPr>
      <w:r>
        <w:drawing>
          <wp:inline xmlns:a="http://schemas.openxmlformats.org/drawingml/2006/main" xmlns:pic="http://schemas.openxmlformats.org/drawingml/2006/picture">
            <wp:extent cx="5486400" cy="4523514"/>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35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