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2026-09-24 och omfattar 280,8 ha.</w:t>
      </w:r>
    </w:p>
    <w:p>
      <w:pPr>
        <w:pStyle w:val="Caption"/>
      </w:pPr>
      <w:r>
        <w:drawing>
          <wp:inline xmlns:a="http://schemas.openxmlformats.org/drawingml/2006/main" xmlns:pic="http://schemas.openxmlformats.org/drawingml/2006/picture">
            <wp:extent cx="5486400" cy="5185147"/>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5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