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2026-09-24 och omfattar 128,0 ha.</w:t>
      </w:r>
    </w:p>
    <w:p>
      <w:pPr>
        <w:pStyle w:val="Caption"/>
      </w:pPr>
      <w:r>
        <w:drawing>
          <wp:inline xmlns:a="http://schemas.openxmlformats.org/drawingml/2006/main" xmlns:pic="http://schemas.openxmlformats.org/drawingml/2006/picture">
            <wp:extent cx="4733133"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3313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48 naturvårdsarter, varav 29 är rödlistade, 18 är fridlysta, 22 är typiska (T) och 7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