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2026-09-24 och omfattar 194,4 ha.</w:t>
      </w:r>
    </w:p>
    <w:p>
      <w:pPr>
        <w:pStyle w:val="Caption"/>
      </w:pPr>
      <w:r>
        <w:drawing>
          <wp:inline xmlns:a="http://schemas.openxmlformats.org/drawingml/2006/main" xmlns:pic="http://schemas.openxmlformats.org/drawingml/2006/picture">
            <wp:extent cx="5486400" cy="4523514"/>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235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