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2026-09-24 och omfattar 237,7 ha.</w:t>
      </w:r>
    </w:p>
    <w:p>
      <w:pPr>
        <w:pStyle w:val="Caption"/>
      </w:pPr>
      <w:r>
        <w:drawing>
          <wp:inline xmlns:a="http://schemas.openxmlformats.org/drawingml/2006/main" xmlns:pic="http://schemas.openxmlformats.org/drawingml/2006/picture">
            <wp:extent cx="5486400" cy="4540426"/>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404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