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2026-10-03 och omfattar 415,0 ha.</w:t>
      </w:r>
    </w:p>
    <w:p>
      <w:pPr>
        <w:pStyle w:val="Caption"/>
      </w:pPr>
      <w:r>
        <w:drawing>
          <wp:inline xmlns:a="http://schemas.openxmlformats.org/drawingml/2006/main" xmlns:pic="http://schemas.openxmlformats.org/drawingml/2006/picture">
            <wp:extent cx="4981813"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818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157 naturvårdsarter, varav 83 är rödlistade, 41 är fridlysta, 68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157 naturvårdsarter varav 83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