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2026-10-03 och omfattar 194,4 ha.</w:t>
      </w:r>
    </w:p>
    <w:p>
      <w:pPr>
        <w:pStyle w:val="Caption"/>
      </w:pPr>
      <w:r>
        <w:drawing>
          <wp:inline xmlns:a="http://schemas.openxmlformats.org/drawingml/2006/main" xmlns:pic="http://schemas.openxmlformats.org/drawingml/2006/picture">
            <wp:extent cx="5486400" cy="4376598"/>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76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129 naturvårdsarter, varav 67 är rödlistade, 42 är fridlysta, 56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blåsippa (T, §9),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