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2026-10-03 och omfattar 237,7 ha.</w:t>
      </w:r>
    </w:p>
    <w:p>
      <w:pPr>
        <w:pStyle w:val="Caption"/>
      </w:pPr>
      <w:r>
        <w:drawing>
          <wp:inline xmlns:a="http://schemas.openxmlformats.org/drawingml/2006/main" xmlns:pic="http://schemas.openxmlformats.org/drawingml/2006/picture">
            <wp:extent cx="5486400" cy="4502955"/>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0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72 naturvårdsarter, varav 37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blåmossa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