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2026-09-16 och omfattar 280,8 ha.</w:t>
      </w:r>
    </w:p>
    <w:p>
      <w:pPr>
        <w:pStyle w:val="Caption"/>
      </w:pPr>
      <w:r>
        <w:drawing>
          <wp:inline xmlns:a="http://schemas.openxmlformats.org/drawingml/2006/main" xmlns:pic="http://schemas.openxmlformats.org/drawingml/2006/picture">
            <wp:extent cx="5486400" cy="5185147"/>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5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