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2026-08-11 och omfattar 415,0 ha.</w:t>
      </w:r>
    </w:p>
    <w:p>
      <w:pPr>
        <w:pStyle w:val="Caption"/>
      </w:pPr>
      <w:r>
        <w:drawing>
          <wp:inline xmlns:a="http://schemas.openxmlformats.org/drawingml/2006/main" xmlns:pic="http://schemas.openxmlformats.org/drawingml/2006/picture">
            <wp:extent cx="495068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68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