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2026-10-07 och omfattar 159,7 ha.</w:t>
      </w:r>
    </w:p>
    <w:p>
      <w:pPr>
        <w:pStyle w:val="Caption"/>
      </w:pPr>
      <w:r>
        <w:drawing>
          <wp:inline xmlns:a="http://schemas.openxmlformats.org/drawingml/2006/main" xmlns:pic="http://schemas.openxmlformats.org/drawingml/2006/picture">
            <wp:extent cx="5486400" cy="4415905"/>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15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113 naturvårdsarter, varav 59 är rödlistade, 39 är fridlysta, 50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113 naturvårdsarter varav 59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