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2026-10-07 och omfattar 128,0 ha.</w:t>
      </w:r>
    </w:p>
    <w:p>
      <w:pPr>
        <w:pStyle w:val="Caption"/>
      </w:pPr>
      <w:r>
        <w:drawing>
          <wp:inline xmlns:a="http://schemas.openxmlformats.org/drawingml/2006/main" xmlns:pic="http://schemas.openxmlformats.org/drawingml/2006/picture">
            <wp:extent cx="5111607"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51116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51 naturvårdsarter, varav 29 är rödlistade, 20 är fridlysta, 25 är typiska (T) och 8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skogshare (NT), skogsklocka (NT), svartvit taggsvamp (NT), tallkötticka (NT), tallriska (NT), tallticka (NT, T), talltita (NT, §4), tjockfotad fingersvamp (NT), ullticka (NT, T), vintertagging (NT), blodticka (S, T), blåmossa (S, T), grovticka (S, T), grön sköldmossa (S, T, §8), grönpyrola (S, T), mindre märgborre (S, T), plattlummer (S, T, §9), vedticka (S, T), blåsippa (T, §9), mattlummer (T, §9), nattskärra (T, §4), spillkråka (T, §4), tallbit (T, §4), tofsmes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