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2026-10-07 och omfattar 237,7 ha.</w:t>
      </w:r>
    </w:p>
    <w:p>
      <w:pPr>
        <w:pStyle w:val="Caption"/>
      </w:pPr>
      <w:r>
        <w:drawing>
          <wp:inline xmlns:a="http://schemas.openxmlformats.org/drawingml/2006/main" xmlns:pic="http://schemas.openxmlformats.org/drawingml/2006/picture">
            <wp:extent cx="5486400" cy="4464891"/>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464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