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2026-07-29 och omfattar 194,4 ha.</w:t>
      </w:r>
    </w:p>
    <w:p>
      <w:pPr>
        <w:pStyle w:val="Caption"/>
      </w:pPr>
      <w:r>
        <w:drawing>
          <wp:inline xmlns:a="http://schemas.openxmlformats.org/drawingml/2006/main" xmlns:pic="http://schemas.openxmlformats.org/drawingml/2006/picture">
            <wp:extent cx="5486400" cy="4749833"/>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98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118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