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Högstaskogens naturreservat i Haninge kommun</w:t>
      </w:r>
    </w:p>
    <w:p>
      <w:r>
        <w:t>Detta klagomål behandlar höga naturvärden i avverkningsanmälan Högstaskogens naturreservat i Haninge kommun som inkom 2026-10-31 och omfattar 415,0 ha.</w:t>
      </w:r>
    </w:p>
    <w:p>
      <w:pPr>
        <w:pStyle w:val="Caption"/>
      </w:pPr>
      <w:r>
        <w:drawing>
          <wp:inline xmlns:a="http://schemas.openxmlformats.org/drawingml/2006/main" xmlns:pic="http://schemas.openxmlformats.org/drawingml/2006/picture">
            <wp:extent cx="4967102" cy="5724000"/>
            <wp:docPr id="1" name="Picture 1"/>
            <wp:cNvGraphicFramePr>
              <a:graphicFrameLocks noChangeAspect="1"/>
            </wp:cNvGraphicFramePr>
            <a:graphic>
              <a:graphicData uri="http://schemas.openxmlformats.org/drawingml/2006/picture">
                <pic:pic>
                  <pic:nvPicPr>
                    <pic:cNvPr id="0" name="Högstaskogens naturreservat karta.png"/>
                    <pic:cNvPicPr/>
                  </pic:nvPicPr>
                  <pic:blipFill>
                    <a:blip r:embed="rId16"/>
                    <a:stretch>
                      <a:fillRect/>
                    </a:stretch>
                  </pic:blipFill>
                  <pic:spPr>
                    <a:xfrm>
                      <a:off x="0" y="0"/>
                      <a:ext cx="4967102"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6562435, E 683164 i SWEREF 99 TM.</w:t>
      </w:r>
    </w:p>
    <w:p>
      <w:r>
        <w:t>I och inom 24 meter från avverkningsanmälan finns fynd av 161 naturvårdsarter, varav 85 är rödlistade, 42 är fridlysta, 70 är typiska (T) och 46 är signalarter (S): ask (EN), brödtaggsvamp (EN), koppartaggsvamp (EN), raggtaggsvamp (EN), skogsalm (EN), brunfläckig pärlemorfjäril (VU), garnlav (VU, T), goliatmusseron (VU, T), grangråticka (VU, T), gränsticka (VU, T), grönfink (VU, §4), gul taggsvamp (VU, T), hasselsnok (VU, §4a), hussvala (VU, §4), igelkott (VU), kejsarskivling (VU), knärot (VU, T, §8), lakritsmusseron (VU, T), läderdoftande fingersvamp (VU), mindre bastardsvärmare (VU), Ramaria ossolana (VU), ringlav (VU), rotfingersvamp (VU), ryl (VU, T), silverblåvinge (VU), skrovlig taggsvamp (VU), starrgräsfjäril (VU), tallgråticka (VU), violettkantad guldvinge (VU), ängsblåvinge (VU), apelsinticka (NT), backstarr (NT), blek fingersvamp (NT), blå taggsvamp (NT, T), dofttaggsvamp (NT, T), dropptaggsvamp (NT, T), dunmossa (NT, T), duvhök (NT, §4), enkelbeckasin (NT, §4), entita (NT, T, §4), fjällig taggsvamp s.str. (NT), gransotdyna (NT), grantaggsvamp (NT), gropticka (NT, T), grönhjon (NT), gullpudra (NT, T), gulsparv (NT, §4), jungfrulin (NT), kandelabersvamp (NT, T), kantdyna (NT), kattfotslav (NT, T), kötticka (NT), loppstarr (NT), lunglav (NT, T), mindre hackspett (NT, T, §4), mindre tåtelsmygare (NT), motaggsvamp (NT, T), nordfladdermus (NT, §4a), orange taggsvamp (NT, T), Phellodon aquiloniniger (NT), rynkskinn (NT, T), rödvingetrast (NT, §4), skarp dropptaggsvamp (NT), skogshare (NT), skuggblåslav (NT, T), storgröe (NT, T), svartvit taggsvamp (NT), svartöra (NT, T), svedjenäva (NT, T), såpfingersvamp (NT), tallfingersvamp (NT), tallkötticka (NT), tallriska (NT), talltaggsvamp (NT), tallticka (NT, T), talltita (NT, §4), tjockfotad fingersvamp (NT), ullticka (NT, T), vedskivlav (NT, T), vedtrappmossa (NT, T), vintertagging (NT), vit vedfingersvamp (NT), vågticka (NT), vårärt (NT, T), älg (NT), björksplintborre (S), blodticka (S, T), blomkålssvamp (S), blåmossa (S, T), blåsfliksmossa (S, T), brandticka (S), bronshjon (S, T), bågpraktmossa (S, T), bårdlav (S, T), dvärghäxört (S, T), dvärgkällmossa (S), flagellkvastmossa (S, T), granbarkgnagare (S, T), granbräken (S), grovticka (S, T), grön sköldmossa (S, T, §8), grönpyrola (S, T), guldkremla (S), igelkottsröksvamp (S), korallrot (S, T, §8), mandelriska (S), maskfingersvamp (S), mindre märgborre (S, T), mörk husmossa (S, T), nästlav (S, T), platt fjädermossa (S, T), plattlummer (S, T, §9), rävticka (S, T), rödgul trumpetsvamp (S), skogsbräsma (S), skogshakmossa (S, T), sotlav (S, T), sotriska (S), stenporella (S, T), stor aspticka (S, T), stor revmossa (S), strutbräken (S, T), svart trolldruva (S, T), svavelriska (S), toppvaxing (S), vedticka (S, T), västlig hakmossa (S), vätteros (S, T), zontaggsvamp (S), åttafläckig praktbagge (S, T), ögonpyrola (S, T), blåsippa (T, §9), brudborste (T), ekbräken (T), mattlummer (T, §9), nattskärra (T, §4), repestarr (T), spillkråka (T, §4), stjärtmes (T, §4), tjäder (T, §4), tofsmes (T, §4), gröngöling (§4), grönsiska (§4), kungsfågel (§4), näktergal (§4), större vattensalamander (§4a), trana (§4), törnskata (§4), huggorm (§6), kopparödla (§6), mindre vattensalamander (§6), skogsödla (§6), vanlig groda (§6), vanlig padda (§6), vanlig snok (§6), fläcknycklar (§8), myggblomster (§8), ängsnycklar (§8), lopplummer (aggregat) (§9), revlummer (§9) och äkta lopplummer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Brödtaggsvamp (EN) </w:t>
      </w:r>
      <w:r>
        <w:t>är en sällsynt och starkt hotad ”toppart” som växer i äldre barrskogar med gran, gärna i fuktiga sänkor eller skogar med hög luftfuktighet.  Svampen har en säregen doft som liknats vid lakrits, kakor eller pomerans. Den ingår i ett åtgärdsprogram för hotade arter (ÅGP) och är placerad högst upp i Skogsstyrelsens värdepyramid för bedömning av skog med höga naturvärden. Arten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bevakas, följas upp och skyddas formellt. Brödtaggsvamp är globalt rödlistad som nära hotad (NT) vilket innebär att Sverige har ett internationellt ansvar för arten (IUCN, 2025; SLU Artdatabanken, 2026; Nitare &amp; Skogsstyrelsen, 2019).</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Raggtaggsvamp (EN)</w:t>
      </w:r>
      <w:r>
        <w:t xml:space="preserve"> är en sällsynt och nationellt starkt hotad art som är knuten till gamla mossiga och örtrika kalkgranskogar med långvarig grankontinuitet. En ”toppart” som alltid indikerar starkt skyddsvärda kalkgranskogar. Raggtaggsvamp år globalt rödlistad som sårbar (VU) och Sverige har en betydande andel av den kända världspopulationen vilket innebär ett internationellt ansvar för arten. Arten försvinner vid slutavverkning vilket utgör det enskilt största hotet. (SLU Artdatabanken, 2024; Nitare &amp; Skogsstyrelsen, 2019; IUCN, 2015).</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Kejsarskivling (VU)</w:t>
      </w:r>
      <w:r>
        <w:t xml:space="preserve"> bildar mykorrhiza med tall, ibland även med gran och växer huvudsakligen på kalkrik mark i barrskog, framförallt mossig gammal granskog med inslag av tall. Arten är placerad högst upp i Skogsstyrelsens värdepyramid för bedömning av skog med höga naturvärden och hotas av slutavverkning, markberedning och en generell minskning av andelen gamla träd i våra skogar. Kejsarskivlingen är globalt rödlistad som nära hotad (NT) vilket innebär att Sverige har ett internationellt ansvar för arten (SLU Artdatabanken, 2024; IUCN, 2019;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19 fyndplatser för knärot registrerade på Artportalen. Figur 2 visar gränserna för buffertzoner på 50 m, som behöver lämnas kring fyndplatserna för att knärotslokalerna inte ska försvinna vid en avverkning. Av det avverkningsanmälda området överlappar 9.65 ha med buffertzonerna och får av detta skäl inte avverkas.</w:t>
      </w:r>
    </w:p>
    <w:p>
      <w:pPr>
        <w:pStyle w:val="Caption"/>
      </w:pPr>
      <w:r>
        <w:drawing>
          <wp:inline xmlns:a="http://schemas.openxmlformats.org/drawingml/2006/main" xmlns:pic="http://schemas.openxmlformats.org/drawingml/2006/picture">
            <wp:extent cx="5486400" cy="5676821"/>
            <wp:docPr id="2" name="Picture 2"/>
            <wp:cNvGraphicFramePr>
              <a:graphicFrameLocks noChangeAspect="1"/>
            </wp:cNvGraphicFramePr>
            <a:graphic>
              <a:graphicData uri="http://schemas.openxmlformats.org/drawingml/2006/picture">
                <pic:pic>
                  <pic:nvPicPr>
                    <pic:cNvPr id="0" name="Högstaskogens naturreservat karta knärot.png"/>
                    <pic:cNvPicPr/>
                  </pic:nvPicPr>
                  <pic:blipFill>
                    <a:blip r:embed="rId17"/>
                    <a:stretch>
                      <a:fillRect/>
                    </a:stretch>
                  </pic:blipFill>
                  <pic:spPr>
                    <a:xfrm>
                      <a:off x="0" y="0"/>
                      <a:ext cx="5486400" cy="56768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6562435, E 683164 i SWEREF 99 TM.</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i/>
        </w:rPr>
        <w:t xml:space="preserve">Ramaria ossolana </w:t>
      </w:r>
      <w:r>
        <w:rPr>
          <w:b/>
        </w:rPr>
        <w:t>(VU)</w:t>
      </w:r>
      <w:r>
        <w:t xml:space="preserve"> är en korallfingersvamp som bildar mykorrhiza med gran, eventuellt även med tall, i äldre kalkbarrskog. En nybeskriven art (2020) som fortfarande är relativt dåligt känd, och som förefaller knuten till kalkbarrskog med lång skoglig kontinuitet. Den totala populationen i landet bedöms ha minskat och förväntas fortsätta minska på grund av slutavverkning av äldre kalkbarrskog och kontinuitetsskog.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(SLU Artdatabanken, 2026).</w:t>
      </w:r>
    </w:p>
    <w:p>
      <w:r>
        <w:rPr>
          <w:b/>
        </w:rPr>
        <w:t>Ringlav (VU)</w:t>
      </w:r>
      <w:r>
        <w:t>, rödlistad som sårbar, växer oftast på gran och tall i brandrefugiala halvöppna skogar med hög och jämn luftfuktighet. Under de senaste 50 åren har minskningstakten uppgått till 30 (20–40) %. Hur mycket den kommer att minska i framtiden beror på vad som kommer att ske med de stora förekomster som hittats men som ännu saknar skydd. Arten, som är placerad i toppen på Skogsstyrelsen värdepyramid för bedömning av skog med höga naturvärden, är ytterst känslig för förändringar i mikroklimatet och den överlever inte i skogsbestånd som gränsar till kalhyggen. Lavens förekomster tillsammans med väl tilltagna skyddszoner måste skyddas och undantas från produktionsinriktat skogsbruk (SLU Artdatabanken, 2024; Nitare &amp; Skogsstyrelsen, 2019).</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Kantdyna (NT)</w:t>
      </w:r>
      <w:r>
        <w:t xml:space="preserve"> är en sällsynt nedbrytare på ved av rönn i triviallövskog. Arten påverkas negativt av brist på kontinuitetsskog. Kantdyna bör eftersökas på lämpliga lokaler och dess närmare ekologi och status undersökas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i/>
        </w:rPr>
        <w:t xml:space="preserve">Phellodon aquiloniniger </w:t>
      </w:r>
      <w:r>
        <w:rPr>
          <w:b/>
        </w:rPr>
        <w:t xml:space="preserve">(NT) </w:t>
      </w:r>
      <w:r>
        <w:t>är en taggsvamp som bildar mykorrhiza med tall, eventuellt även med gran, i sandtallskog och annan näringsfattig äldre tallskog och barrblandskog. Den totala populationen i landet bedöms ha minskat och förväntas fortsätta minska på grund av slutavverkning av äldre barrskog och kontinuitetsskog.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 xml:space="preserve">Storgröe (NT) </w:t>
      </w:r>
      <w:r>
        <w:t xml:space="preserve">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Storgröe är typisk art för </w:t>
      </w:r>
      <w:r>
        <w:rPr>
          <w:i/>
        </w:rPr>
        <w:t xml:space="preserve">9020 Nordlig ädellövskog </w:t>
      </w:r>
      <w:r>
        <w:t>och</w:t>
      </w:r>
      <w:r>
        <w:rPr>
          <w:i/>
        </w:rPr>
        <w:t xml:space="preserve"> 9080 Lövsumpskog</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Svartöra (NT)</w:t>
      </w:r>
      <w:r>
        <w:t xml:space="preserve"> är en gelésvamp som i Sverige i första hand växer på grov ved av alm, i andra hand ask och mycket sällan på lönn och andra lövträd. Verkar föredra fuktiga–skuggiga förhållanden och är ännu i vissa delar av landet en karaktärsart i alm- och asklundar. En minskning av populationen förväntas ske inom en snar framtid på grund av negativ påverkan av alm- och askskottsjukan. Svartöra är typisk art för </w:t>
      </w:r>
      <w:r>
        <w:rPr>
          <w:i/>
        </w:rPr>
        <w:t xml:space="preserve">9020 Nordlig ädellövskog </w:t>
      </w:r>
      <w:r>
        <w:t>(SLU Artdatabanken, 2025).</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p>
      <w:r>
        <w:rPr>
          <w:b/>
        </w:rPr>
        <w:t xml:space="preserve">Såpfingersvamp (NT) </w:t>
      </w:r>
      <w:r>
        <w:t>är en sällsynt ”toppart” som bildar mykorrhiza med gran i kalkbarrskog, sällsynt även med ek, hassel och bok i kalkrik ädellövskog. Status i landet något oklar men eftersökt och uppenbarligen mycket ovanlig och med liten förekomstarea. All form av skogsavverkning i eller i närheten av växtplatsen som kan påverka lokalens mikroklimat utgör ett hot. Växtplatserna bör skyddas och arten bör eftersökas på nya lokaler i såväl kalkgranskogar som rika ädellövskogar i södra Sverige. Såpfingersvamp är placerad högst upp i Skogsstyrelsens värdepyramid för bedömning av skog med höga naturvärden (SLU Artdatabanken, 2024; Nitare &amp; Skogsstyrelsen, 2019).</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Igelkottsröksvamp </w:t>
      </w:r>
      <w:r>
        <w:t>är överallt en bra signalart på skyddsvärda ädellövskogar och lövlundar. Svampen är kalkgynnad och indikerar lokalklimatiskt varma men samtidigt relativt fuktiga lövskogar. Växtmiljön utgörs vanligtvis av äldre successionsstadier inom områden med långvarig trädkontinuitet och lokalerna hyser oftast en rik lundflora med många andra ovanliga och rödlistade arter. Skogsbruk som bryter den skogliga kontinuiteten och förändrade markförhållanden missgynnar arten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Rävticka</w:t>
      </w:r>
      <w:r>
        <w:t xml:space="preserve"> är typisk art för </w:t>
      </w:r>
      <w:r>
        <w:rPr>
          <w:i/>
        </w:rPr>
        <w:t xml:space="preserve">9010 Taiga </w:t>
      </w:r>
      <w:r>
        <w:t>(SLU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Stenporella</w:t>
      </w:r>
      <w:r>
        <w:t xml:space="preserve"> är i stora delar av landet en god signalart för skogsmiljöer med höga naturvärden. Den är beroende av konstant hög luftfuktighet och på dess lokaler förekommer ofta rödlistade mossor och lavar. Stenporella är typisk art för </w:t>
      </w:r>
      <w:r>
        <w:rPr>
          <w:i/>
        </w:rPr>
        <w:t xml:space="preserve">9750 Svämlövskog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Åttafläckig praktbagge</w:t>
      </w:r>
      <w:r>
        <w:t xml:space="preserve"> är en skalbagge vars larvutveckling sker i solexponerad död ved av tall, undantagsvis gran. Ofta i döda veddelar i levande träd, t.ex. ytliga rötter med blottad ved, även i klena stammar eller grova grenar på marken. De platta larvgångarna är packade med gnagmjöl, och det plattovala flyghålet är ungefär 5 mm i diameter. Åttafläckig praktbagge är typisk art för </w:t>
      </w:r>
      <w:r>
        <w:rPr>
          <w:i/>
        </w:rPr>
        <w:t xml:space="preserve">9010 Taiga </w:t>
      </w:r>
      <w:r>
        <w:t>(SLU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Ekbräken </w:t>
      </w:r>
      <w:r>
        <w:t xml:space="preserve">är typisk art för </w:t>
      </w:r>
      <w:r>
        <w:rPr>
          <w:i/>
        </w:rPr>
        <w:t>9050 Näringsrik granskog</w:t>
      </w:r>
      <w:r>
        <w:t xml:space="preserve"> (SLU Artdatabanken, 2025).</w:t>
      </w:r>
    </w:p>
    <w:p>
      <w:r>
        <w:rPr>
          <w:b/>
        </w:rPr>
        <w:t>Mattlummer (§9)</w:t>
      </w:r>
      <w:r>
        <w:t xml:space="preserve"> är typisk art för </w:t>
      </w:r>
      <w:r>
        <w:rPr>
          <w:i/>
        </w:rPr>
        <w:t xml:space="preserve">9010 Taiga </w:t>
      </w:r>
      <w:r>
        <w:t>(SLU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 xml:space="preserve">Repestarr </w:t>
      </w:r>
      <w:r>
        <w:t xml:space="preserve">är typisk art för </w:t>
      </w:r>
      <w:r>
        <w:rPr>
          <w:i/>
        </w:rPr>
        <w:t xml:space="preserve">9080 Lövsumpskog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131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161 naturvårdsarter varav 85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