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2026-10-31 och omfattar 194,4 ha.</w:t>
      </w:r>
    </w:p>
    <w:p>
      <w:pPr>
        <w:pStyle w:val="Caption"/>
      </w:pPr>
      <w:r>
        <w:drawing>
          <wp:inline xmlns:a="http://schemas.openxmlformats.org/drawingml/2006/main" xmlns:pic="http://schemas.openxmlformats.org/drawingml/2006/picture">
            <wp:extent cx="5486400" cy="4342987"/>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2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