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2026-09-26 och omfattar 159,7 ha.</w:t>
      </w:r>
    </w:p>
    <w:p>
      <w:pPr>
        <w:pStyle w:val="Caption"/>
      </w:pPr>
      <w:r>
        <w:drawing>
          <wp:inline xmlns:a="http://schemas.openxmlformats.org/drawingml/2006/main" xmlns:pic="http://schemas.openxmlformats.org/drawingml/2006/picture">
            <wp:extent cx="5486400" cy="4414001"/>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40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110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