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2026-09-26 och omfattar 128,0 ha.</w:t>
      </w:r>
    </w:p>
    <w:p>
      <w:pPr>
        <w:pStyle w:val="Caption"/>
      </w:pPr>
      <w:r>
        <w:drawing>
          <wp:inline xmlns:a="http://schemas.openxmlformats.org/drawingml/2006/main" xmlns:pic="http://schemas.openxmlformats.org/drawingml/2006/picture">
            <wp:extent cx="4733133"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3313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6561983, E 688387 i SWEREF 99 TM.</w:t>
      </w:r>
    </w:p>
    <w:p>
      <w:r>
        <w:t>I och inom 23 meter från avverkningsanmälan finns fynd av 48 naturvårdsarter, varav 29 är rödlistade, 18 är fridlysta, 22 är typiska (T) och 7 är signalarter (S): hornuggla (EN, §4), brunfläckig pärlemorfjäril (VU), garnlav (VU, T), goliatmusseron (VU, T), igelkott (VU), jättemusseron (VU), knärot (VU, T, §8), lakritsmusseron (VU, T), skrovlig taggsvamp (VU), adam och eva (NT, §8), apelsinticka (NT), blå taggsvamp (NT, T), brunklöver (NT), dofttaggsvamp (NT, 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