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2026-09-26 och omfattar 194,4 ha.</w:t>
      </w:r>
    </w:p>
    <w:p>
      <w:pPr>
        <w:pStyle w:val="Caption"/>
      </w:pPr>
      <w:r>
        <w:drawing>
          <wp:inline xmlns:a="http://schemas.openxmlformats.org/drawingml/2006/main" xmlns:pic="http://schemas.openxmlformats.org/drawingml/2006/picture">
            <wp:extent cx="5486400" cy="4513791"/>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5137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128 naturvårdsarter, varav 67 är rödlistade, 41 är fridlysta, 55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128 naturvårdsarter varav 67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