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2026-09-26 och omfattar 415,0 ha.</w:t>
      </w:r>
    </w:p>
    <w:p>
      <w:pPr>
        <w:pStyle w:val="Caption"/>
      </w:pPr>
      <w:r>
        <w:drawing>
          <wp:inline xmlns:a="http://schemas.openxmlformats.org/drawingml/2006/main" xmlns:pic="http://schemas.openxmlformats.org/drawingml/2006/picture">
            <wp:extent cx="4973788"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737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157 naturvårdsarter, varav 83 är rödlistade, 41 är fridlysta, 68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skuggblåslav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ekbräken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