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2026-09-26 och omfattar 237,7 ha.</w:t>
      </w:r>
    </w:p>
    <w:p>
      <w:pPr>
        <w:pStyle w:val="Caption"/>
      </w:pPr>
      <w:r>
        <w:drawing>
          <wp:inline xmlns:a="http://schemas.openxmlformats.org/drawingml/2006/main" xmlns:pic="http://schemas.openxmlformats.org/drawingml/2006/picture">
            <wp:extent cx="5486400" cy="4511953"/>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119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72 naturvårdsarter, varav 37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blåmossa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