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2026-10-01 och omfattar 415,0 ha.</w:t>
      </w:r>
    </w:p>
    <w:p>
      <w:pPr>
        <w:pStyle w:val="Caption"/>
      </w:pPr>
      <w:r>
        <w:drawing>
          <wp:inline xmlns:a="http://schemas.openxmlformats.org/drawingml/2006/main" xmlns:pic="http://schemas.openxmlformats.org/drawingml/2006/picture">
            <wp:extent cx="4982000"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200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