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2026-10-01 och omfattar 415,0 ha.</w:t>
      </w:r>
    </w:p>
    <w:p>
      <w:pPr>
        <w:pStyle w:val="Caption"/>
      </w:pPr>
      <w:r>
        <w:drawing>
          <wp:inline xmlns:a="http://schemas.openxmlformats.org/drawingml/2006/main" xmlns:pic="http://schemas.openxmlformats.org/drawingml/2006/picture">
            <wp:extent cx="498200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00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