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2026-10-01 och omfattar 159,7 ha.</w:t>
      </w:r>
    </w:p>
    <w:p>
      <w:pPr>
        <w:pStyle w:val="Caption"/>
      </w:pPr>
      <w:r>
        <w:drawing>
          <wp:inline xmlns:a="http://schemas.openxmlformats.org/drawingml/2006/main" xmlns:pic="http://schemas.openxmlformats.org/drawingml/2006/picture">
            <wp:extent cx="5486400" cy="4379062"/>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3790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110 naturvårdsarter, varav 58 är rödlistade, 38 är fridlysta, 48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