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2026-10-08 och omfattar 159,7 ha.</w:t>
      </w:r>
    </w:p>
    <w:p>
      <w:pPr>
        <w:pStyle w:val="Caption"/>
      </w:pPr>
      <w:r>
        <w:drawing>
          <wp:inline xmlns:a="http://schemas.openxmlformats.org/drawingml/2006/main" xmlns:pic="http://schemas.openxmlformats.org/drawingml/2006/picture">
            <wp:extent cx="5486400" cy="4416283"/>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162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113 naturvårdsarter, varav 59 är rödlistade, 39 är fridlysta, 50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113 naturvårdsarter varav 59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