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2026-10-08 och omfattar 237,7 ha.</w:t>
      </w:r>
    </w:p>
    <w:p>
      <w:pPr>
        <w:pStyle w:val="Caption"/>
      </w:pPr>
      <w:r>
        <w:drawing>
          <wp:inline xmlns:a="http://schemas.openxmlformats.org/drawingml/2006/main" xmlns:pic="http://schemas.openxmlformats.org/drawingml/2006/picture">
            <wp:extent cx="5486400" cy="4457483"/>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457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73 naturvårdsarter, varav 38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skarp dropptaggsvamp (NT),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