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2026-10-23 och omfattar 194,4 ha.</w:t>
      </w:r>
    </w:p>
    <w:p>
      <w:pPr>
        <w:pStyle w:val="Caption"/>
      </w:pPr>
      <w:r>
        <w:drawing>
          <wp:inline xmlns:a="http://schemas.openxmlformats.org/drawingml/2006/main" xmlns:pic="http://schemas.openxmlformats.org/drawingml/2006/picture">
            <wp:extent cx="5486400" cy="4349646"/>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496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132 naturvårdsarter, varav 68 är rödlistade, 42 är fridlysta, 58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132 naturvårdsarter varav 68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