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2026-10-23 och omfattar 280,8 ha.</w:t>
      </w:r>
    </w:p>
    <w:p>
      <w:pPr>
        <w:pStyle w:val="Caption"/>
      </w:pPr>
      <w:r>
        <w:drawing>
          <wp:inline xmlns:a="http://schemas.openxmlformats.org/drawingml/2006/main" xmlns:pic="http://schemas.openxmlformats.org/drawingml/2006/picture">
            <wp:extent cx="5486400" cy="5210845"/>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8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