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2026-10-23 och omfattar 237,7 ha.</w:t>
      </w:r>
    </w:p>
    <w:p>
      <w:pPr>
        <w:pStyle w:val="Caption"/>
      </w:pPr>
      <w:r>
        <w:drawing>
          <wp:inline xmlns:a="http://schemas.openxmlformats.org/drawingml/2006/main" xmlns:pic="http://schemas.openxmlformats.org/drawingml/2006/picture">
            <wp:extent cx="5486400" cy="4238324"/>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383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73 naturvårdsarter, varav 38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