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2026-10-23 och omfattar 194,4 ha.</w:t>
      </w:r>
    </w:p>
    <w:p>
      <w:pPr>
        <w:pStyle w:val="Caption"/>
      </w:pPr>
      <w:r>
        <w:drawing>
          <wp:inline xmlns:a="http://schemas.openxmlformats.org/drawingml/2006/main" xmlns:pic="http://schemas.openxmlformats.org/drawingml/2006/picture">
            <wp:extent cx="5486400" cy="4349646"/>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496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132 naturvårdsarter, varav 68 är rödlistade, 42 är fridlysta, 58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Porodaedalea chrysoloma (DD),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ekbräken (T), hultbräken (T),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flagellkvastmossa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blåsippa (T, §9), ekbräken (T), hultbräken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