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2026-10-11 och omfattar 280,8 ha.</w:t>
      </w:r>
    </w:p>
    <w:p>
      <w:pPr>
        <w:pStyle w:val="Caption"/>
      </w:pPr>
      <w:r>
        <w:drawing>
          <wp:inline xmlns:a="http://schemas.openxmlformats.org/drawingml/2006/main" xmlns:pic="http://schemas.openxmlformats.org/drawingml/2006/picture">
            <wp:extent cx="5486400" cy="5203116"/>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031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