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2026-10-11 och omfattar 280,8 ha.</w:t>
      </w:r>
    </w:p>
    <w:p>
      <w:pPr>
        <w:pStyle w:val="Caption"/>
      </w:pPr>
      <w:r>
        <w:drawing>
          <wp:inline xmlns:a="http://schemas.openxmlformats.org/drawingml/2006/main" xmlns:pic="http://schemas.openxmlformats.org/drawingml/2006/picture">
            <wp:extent cx="5486400" cy="5203116"/>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03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