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2026-10-04 och omfattar 159,7 ha.</w:t>
      </w:r>
    </w:p>
    <w:p>
      <w:pPr>
        <w:pStyle w:val="Caption"/>
      </w:pPr>
      <w:r>
        <w:drawing>
          <wp:inline xmlns:a="http://schemas.openxmlformats.org/drawingml/2006/main" xmlns:pic="http://schemas.openxmlformats.org/drawingml/2006/picture">
            <wp:extent cx="5486400" cy="4378328"/>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378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111 naturvårdsarter, varav 58 är rödlistade, 39 är fridlysta, 49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111 naturvårdsarter varav 58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