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2026-10-04 och omfattar 237,7 ha.</w:t>
      </w:r>
    </w:p>
    <w:p>
      <w:pPr>
        <w:pStyle w:val="Caption"/>
      </w:pPr>
      <w:r>
        <w:drawing>
          <wp:inline xmlns:a="http://schemas.openxmlformats.org/drawingml/2006/main" xmlns:pic="http://schemas.openxmlformats.org/drawingml/2006/picture">
            <wp:extent cx="5486400" cy="4502955"/>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0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72 naturvårdsarter, varav 37 är rödlistade, 26 är fridlysta, 37 är typiska (T) och 17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blåmossa (S, T),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72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